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B1064" w14:textId="4B60BA19" w:rsidR="00755EA3" w:rsidRPr="00002D85" w:rsidRDefault="00755EA3">
      <w:pPr>
        <w:rPr>
          <w:b/>
        </w:rPr>
      </w:pPr>
      <w:r>
        <w:rPr>
          <w:b/>
        </w:rPr>
        <w:t xml:space="preserve">Cash Flow Management - </w:t>
      </w:r>
      <w:r w:rsidR="004170CD" w:rsidRPr="00002D85">
        <w:rPr>
          <w:b/>
        </w:rPr>
        <w:t>Tax Considerations for Business</w:t>
      </w:r>
    </w:p>
    <w:p w14:paraId="39B24F2B" w14:textId="77777777" w:rsidR="004170CD" w:rsidRDefault="004170CD"/>
    <w:p w14:paraId="089400B6" w14:textId="5E3F1337" w:rsidR="004170CD" w:rsidRDefault="00002D85">
      <w:r>
        <w:t xml:space="preserve">While </w:t>
      </w:r>
      <w:r w:rsidR="004170CD">
        <w:t xml:space="preserve">numerous financial aid packages and </w:t>
      </w:r>
      <w:r w:rsidR="00F334A3">
        <w:t>rafts of measures</w:t>
      </w:r>
      <w:r w:rsidR="004170CD">
        <w:t xml:space="preserve"> </w:t>
      </w:r>
      <w:r>
        <w:t xml:space="preserve">aimed at </w:t>
      </w:r>
      <w:r w:rsidR="00F334A3">
        <w:t>supporting businesses in these challenging times</w:t>
      </w:r>
      <w:r>
        <w:t xml:space="preserve"> have been recently announced</w:t>
      </w:r>
      <w:r w:rsidR="00F334A3">
        <w:t xml:space="preserve">, </w:t>
      </w:r>
      <w:r w:rsidR="004170CD">
        <w:t xml:space="preserve">there are a number of other tax measures </w:t>
      </w:r>
      <w:r w:rsidR="00F334A3">
        <w:t>and reliefs</w:t>
      </w:r>
      <w:r>
        <w:t xml:space="preserve"> already in existence</w:t>
      </w:r>
      <w:r w:rsidR="00F334A3">
        <w:t xml:space="preserve"> </w:t>
      </w:r>
      <w:r w:rsidR="004170CD">
        <w:t xml:space="preserve">which can assist </w:t>
      </w:r>
      <w:r w:rsidR="00F334A3">
        <w:t>businesses</w:t>
      </w:r>
      <w:r w:rsidR="00B9229F">
        <w:t xml:space="preserve"> during these difficult times</w:t>
      </w:r>
      <w:r w:rsidR="004170CD">
        <w:t xml:space="preserve">. </w:t>
      </w:r>
    </w:p>
    <w:p w14:paraId="30EC02A9" w14:textId="77777777" w:rsidR="004170CD" w:rsidRDefault="004170CD"/>
    <w:p w14:paraId="692EDE3D" w14:textId="77777777" w:rsidR="004170CD" w:rsidRPr="00685BB7" w:rsidRDefault="004170CD">
      <w:pPr>
        <w:rPr>
          <w:b/>
        </w:rPr>
      </w:pPr>
      <w:r w:rsidRPr="00685BB7">
        <w:rPr>
          <w:b/>
        </w:rPr>
        <w:t>Time to Pay</w:t>
      </w:r>
      <w:r w:rsidR="00F334A3" w:rsidRPr="00685BB7">
        <w:rPr>
          <w:b/>
        </w:rPr>
        <w:t xml:space="preserve"> Arrangements</w:t>
      </w:r>
    </w:p>
    <w:p w14:paraId="4610C9FD" w14:textId="77777777" w:rsidR="00F334A3" w:rsidRDefault="00F334A3"/>
    <w:p w14:paraId="0D21C41B" w14:textId="2F29606F" w:rsidR="00F334A3" w:rsidRDefault="00F334A3">
      <w:r>
        <w:t xml:space="preserve">Where a business is in financial distress with outstanding tax </w:t>
      </w:r>
      <w:r w:rsidR="00B9229F">
        <w:t>labilities,</w:t>
      </w:r>
      <w:r>
        <w:t xml:space="preserve"> they may be able to </w:t>
      </w:r>
      <w:r w:rsidR="00685BB7">
        <w:t xml:space="preserve">receive support from HMRC through a </w:t>
      </w:r>
      <w:r>
        <w:t>ti</w:t>
      </w:r>
      <w:r w:rsidR="00685BB7">
        <w:t xml:space="preserve">me to pay arrangement. Such an arrangement allows for businesses to pay off their debts through instalments over a period of time. Each arrangement is negotiated with HMRC generally over the phone and tailored to meet the individual circumstances and liabilities. Prior to agreeing to any arrangement HMRC will seek details regarding the debt, why it cannot be paid and the amount which the business can pay as a monthly payment. </w:t>
      </w:r>
    </w:p>
    <w:p w14:paraId="636D0770" w14:textId="77777777" w:rsidR="00685BB7" w:rsidRDefault="00685BB7"/>
    <w:p w14:paraId="68C34667" w14:textId="77777777" w:rsidR="004170CD" w:rsidRPr="00685BB7" w:rsidRDefault="004170CD" w:rsidP="00685BB7">
      <w:pPr>
        <w:rPr>
          <w:b/>
        </w:rPr>
      </w:pPr>
      <w:r w:rsidRPr="00685BB7">
        <w:rPr>
          <w:b/>
        </w:rPr>
        <w:t>VAT Bad Debt Relief</w:t>
      </w:r>
    </w:p>
    <w:p w14:paraId="2670BAC8" w14:textId="155D7062" w:rsidR="00685BB7" w:rsidRDefault="00685BB7" w:rsidP="00D85ACA">
      <w:pPr>
        <w:shd w:val="clear" w:color="auto" w:fill="FFFFFF"/>
        <w:spacing w:before="300" w:after="300"/>
      </w:pPr>
      <w:r w:rsidRPr="00D85ACA">
        <w:t xml:space="preserve">Where a business has made supplies to </w:t>
      </w:r>
      <w:r w:rsidR="00D85ACA" w:rsidRPr="00D85ACA">
        <w:t>a customer but has</w:t>
      </w:r>
      <w:r w:rsidRPr="00D85ACA">
        <w:t xml:space="preserve"> not received payment then they may be able to claim a refund of the output VAT they have paid to HMRC. </w:t>
      </w:r>
      <w:r w:rsidR="00D85ACA" w:rsidRPr="00D85ACA">
        <w:t>There are conditions to be met to</w:t>
      </w:r>
      <w:r w:rsidR="00B9229F">
        <w:t xml:space="preserve"> be</w:t>
      </w:r>
      <w:r w:rsidR="00D85ACA" w:rsidRPr="00D85ACA">
        <w:t xml:space="preserve"> able to claim the refund including the debt must be unpaid for a period of 6 months. </w:t>
      </w:r>
      <w:r w:rsidR="00B9229F" w:rsidRPr="00D85ACA">
        <w:t>Generally,</w:t>
      </w:r>
      <w:r w:rsidR="00D85ACA" w:rsidRPr="00D85ACA">
        <w:t xml:space="preserve"> a business has a period of 4 years and 6 months from the later of the date payment was due</w:t>
      </w:r>
      <w:r w:rsidR="00D85ACA">
        <w:t xml:space="preserve"> and payable</w:t>
      </w:r>
      <w:r w:rsidR="00D85ACA" w:rsidRPr="00D85ACA">
        <w:t xml:space="preserve"> or the date of supply in which to make a claim. However, the relief must be repaid to HMRC if the business subsequently receives payment from the customer. </w:t>
      </w:r>
      <w:r w:rsidR="00D85ACA">
        <w:t xml:space="preserve">Business which are no longer registered for VAT can still make a claim for relief provided the necessary conditions are satisfied. </w:t>
      </w:r>
    </w:p>
    <w:p w14:paraId="4DBA4A92" w14:textId="77777777" w:rsidR="00D85ACA" w:rsidRPr="00D85ACA" w:rsidRDefault="00D85ACA" w:rsidP="00D85ACA">
      <w:pPr>
        <w:shd w:val="clear" w:color="auto" w:fill="FFFFFF"/>
        <w:spacing w:before="300" w:after="300"/>
        <w:rPr>
          <w:b/>
        </w:rPr>
      </w:pPr>
      <w:r w:rsidRPr="00D85ACA">
        <w:rPr>
          <w:b/>
        </w:rPr>
        <w:t>Cash Accounting</w:t>
      </w:r>
    </w:p>
    <w:p w14:paraId="59961759" w14:textId="77777777" w:rsidR="00B9229F" w:rsidRDefault="00D85ACA" w:rsidP="00696A61">
      <w:pPr>
        <w:pStyle w:val="NormalWeb"/>
        <w:shd w:val="clear" w:color="auto" w:fill="FFFFFF"/>
        <w:spacing w:before="300" w:beforeAutospacing="0" w:after="300" w:afterAutospacing="0"/>
        <w:jc w:val="both"/>
        <w:rPr>
          <w:rFonts w:ascii="Verdana" w:eastAsiaTheme="minorHAnsi" w:hAnsi="Verdana" w:cs="Arial"/>
          <w:color w:val="000000" w:themeColor="text1"/>
          <w:sz w:val="20"/>
          <w:szCs w:val="22"/>
          <w:lang w:eastAsia="en-US"/>
        </w:rPr>
      </w:pPr>
      <w:r w:rsidRPr="00696A61">
        <w:rPr>
          <w:rFonts w:ascii="Verdana" w:eastAsiaTheme="minorHAnsi" w:hAnsi="Verdana" w:cs="Arial"/>
          <w:color w:val="000000" w:themeColor="text1"/>
          <w:sz w:val="20"/>
          <w:szCs w:val="22"/>
          <w:lang w:eastAsia="en-US"/>
        </w:rPr>
        <w:t xml:space="preserve">This scheme allows </w:t>
      </w:r>
      <w:r w:rsidR="00696A61" w:rsidRPr="00696A61">
        <w:rPr>
          <w:rFonts w:ascii="Verdana" w:eastAsiaTheme="minorHAnsi" w:hAnsi="Verdana" w:cs="Arial"/>
          <w:color w:val="000000" w:themeColor="text1"/>
          <w:sz w:val="20"/>
          <w:szCs w:val="22"/>
          <w:lang w:eastAsia="en-US"/>
        </w:rPr>
        <w:t xml:space="preserve">for </w:t>
      </w:r>
      <w:r w:rsidRPr="00696A61">
        <w:rPr>
          <w:rFonts w:ascii="Verdana" w:eastAsiaTheme="minorHAnsi" w:hAnsi="Verdana" w:cs="Arial"/>
          <w:color w:val="000000" w:themeColor="text1"/>
          <w:sz w:val="20"/>
          <w:szCs w:val="22"/>
          <w:lang w:eastAsia="en-US"/>
        </w:rPr>
        <w:t>business</w:t>
      </w:r>
      <w:r w:rsidR="00696A61" w:rsidRPr="00696A61">
        <w:rPr>
          <w:rFonts w:ascii="Verdana" w:eastAsiaTheme="minorHAnsi" w:hAnsi="Verdana" w:cs="Arial"/>
          <w:color w:val="000000" w:themeColor="text1"/>
          <w:sz w:val="20"/>
          <w:szCs w:val="22"/>
          <w:lang w:eastAsia="en-US"/>
        </w:rPr>
        <w:t>es</w:t>
      </w:r>
      <w:r w:rsidRPr="00696A61">
        <w:rPr>
          <w:rFonts w:ascii="Verdana" w:eastAsiaTheme="minorHAnsi" w:hAnsi="Verdana" w:cs="Arial"/>
          <w:color w:val="000000" w:themeColor="text1"/>
          <w:sz w:val="20"/>
          <w:szCs w:val="22"/>
          <w:lang w:eastAsia="en-US"/>
        </w:rPr>
        <w:t xml:space="preserve"> to account for VAT due </w:t>
      </w:r>
      <w:r w:rsidR="00696A61" w:rsidRPr="00696A61">
        <w:rPr>
          <w:rFonts w:ascii="Verdana" w:eastAsiaTheme="minorHAnsi" w:hAnsi="Verdana" w:cs="Arial"/>
          <w:color w:val="000000" w:themeColor="text1"/>
          <w:sz w:val="20"/>
          <w:szCs w:val="22"/>
          <w:lang w:eastAsia="en-US"/>
        </w:rPr>
        <w:t xml:space="preserve">on sales </w:t>
      </w:r>
      <w:r w:rsidRPr="00696A61">
        <w:rPr>
          <w:rFonts w:ascii="Verdana" w:eastAsiaTheme="minorHAnsi" w:hAnsi="Verdana" w:cs="Arial"/>
          <w:color w:val="000000" w:themeColor="text1"/>
          <w:sz w:val="20"/>
          <w:szCs w:val="22"/>
          <w:lang w:eastAsia="en-US"/>
        </w:rPr>
        <w:t xml:space="preserve">based on </w:t>
      </w:r>
      <w:r w:rsidR="00696A61" w:rsidRPr="00696A61">
        <w:rPr>
          <w:rFonts w:ascii="Verdana" w:eastAsiaTheme="minorHAnsi" w:hAnsi="Verdana" w:cs="Arial"/>
          <w:color w:val="000000" w:themeColor="text1"/>
          <w:sz w:val="20"/>
          <w:szCs w:val="22"/>
          <w:lang w:eastAsia="en-US"/>
        </w:rPr>
        <w:t xml:space="preserve">when </w:t>
      </w:r>
      <w:r w:rsidRPr="00696A61">
        <w:rPr>
          <w:rFonts w:ascii="Verdana" w:eastAsiaTheme="minorHAnsi" w:hAnsi="Verdana" w:cs="Arial"/>
          <w:color w:val="000000" w:themeColor="text1"/>
          <w:sz w:val="20"/>
          <w:szCs w:val="22"/>
          <w:lang w:eastAsia="en-US"/>
        </w:rPr>
        <w:t xml:space="preserve">payments </w:t>
      </w:r>
      <w:r w:rsidR="00EE3443">
        <w:rPr>
          <w:rFonts w:ascii="Verdana" w:eastAsiaTheme="minorHAnsi" w:hAnsi="Verdana" w:cs="Arial"/>
          <w:color w:val="000000" w:themeColor="text1"/>
          <w:sz w:val="20"/>
          <w:szCs w:val="22"/>
          <w:lang w:eastAsia="en-US"/>
        </w:rPr>
        <w:t xml:space="preserve">are </w:t>
      </w:r>
      <w:r w:rsidRPr="00696A61">
        <w:rPr>
          <w:rFonts w:ascii="Verdana" w:eastAsiaTheme="minorHAnsi" w:hAnsi="Verdana" w:cs="Arial"/>
          <w:color w:val="000000" w:themeColor="text1"/>
          <w:sz w:val="20"/>
          <w:szCs w:val="22"/>
          <w:lang w:eastAsia="en-US"/>
        </w:rPr>
        <w:t xml:space="preserve">received </w:t>
      </w:r>
      <w:r w:rsidR="00696A61" w:rsidRPr="00696A61">
        <w:rPr>
          <w:rFonts w:ascii="Verdana" w:eastAsiaTheme="minorHAnsi" w:hAnsi="Verdana" w:cs="Arial"/>
          <w:color w:val="000000" w:themeColor="text1"/>
          <w:sz w:val="20"/>
          <w:szCs w:val="22"/>
          <w:lang w:eastAsia="en-US"/>
        </w:rPr>
        <w:t xml:space="preserve">rather than when tax invoices are issued. </w:t>
      </w:r>
      <w:r w:rsidR="00EE3443">
        <w:rPr>
          <w:rFonts w:ascii="Verdana" w:eastAsiaTheme="minorHAnsi" w:hAnsi="Verdana" w:cs="Arial"/>
          <w:color w:val="000000" w:themeColor="text1"/>
          <w:sz w:val="20"/>
          <w:szCs w:val="22"/>
          <w:lang w:eastAsia="en-US"/>
        </w:rPr>
        <w:t>Conversely</w:t>
      </w:r>
      <w:r w:rsidR="00696A61" w:rsidRPr="00696A61">
        <w:rPr>
          <w:rFonts w:ascii="Verdana" w:eastAsiaTheme="minorHAnsi" w:hAnsi="Verdana" w:cs="Arial"/>
          <w:color w:val="000000" w:themeColor="text1"/>
          <w:sz w:val="20"/>
          <w:szCs w:val="22"/>
          <w:lang w:eastAsia="en-US"/>
        </w:rPr>
        <w:t>, businesses can only claim for VAT incurred when supplie</w:t>
      </w:r>
      <w:r w:rsidR="00C539F3">
        <w:rPr>
          <w:rFonts w:ascii="Verdana" w:eastAsiaTheme="minorHAnsi" w:hAnsi="Verdana" w:cs="Arial"/>
          <w:color w:val="000000" w:themeColor="text1"/>
          <w:sz w:val="20"/>
          <w:szCs w:val="22"/>
          <w:lang w:eastAsia="en-US"/>
        </w:rPr>
        <w:t>r</w:t>
      </w:r>
      <w:r w:rsidR="00696A61" w:rsidRPr="00696A61">
        <w:rPr>
          <w:rFonts w:ascii="Verdana" w:eastAsiaTheme="minorHAnsi" w:hAnsi="Verdana" w:cs="Arial"/>
          <w:color w:val="000000" w:themeColor="text1"/>
          <w:sz w:val="20"/>
          <w:szCs w:val="22"/>
          <w:lang w:eastAsia="en-US"/>
        </w:rPr>
        <w:t xml:space="preserve">s are actually paid. This scheme can assist with cash flow for businesses particularly those with customers who have extended credit or who suffer a lot of bad debts.  </w:t>
      </w:r>
    </w:p>
    <w:p w14:paraId="7ECB9A8D" w14:textId="6E0A8806" w:rsidR="00D85ACA" w:rsidRPr="00696A61" w:rsidRDefault="00696A61" w:rsidP="00696A61">
      <w:pPr>
        <w:pStyle w:val="NormalWeb"/>
        <w:shd w:val="clear" w:color="auto" w:fill="FFFFFF"/>
        <w:spacing w:before="300" w:beforeAutospacing="0" w:after="300" w:afterAutospacing="0"/>
        <w:jc w:val="both"/>
        <w:rPr>
          <w:rFonts w:ascii="Verdana" w:eastAsiaTheme="minorHAnsi" w:hAnsi="Verdana" w:cs="Arial"/>
          <w:color w:val="000000" w:themeColor="text1"/>
          <w:sz w:val="20"/>
          <w:szCs w:val="22"/>
          <w:lang w:eastAsia="en-US"/>
        </w:rPr>
      </w:pPr>
      <w:r w:rsidRPr="00696A61">
        <w:rPr>
          <w:rFonts w:ascii="Verdana" w:eastAsiaTheme="minorHAnsi" w:hAnsi="Verdana" w:cs="Arial"/>
          <w:color w:val="000000" w:themeColor="text1"/>
          <w:sz w:val="20"/>
          <w:szCs w:val="22"/>
          <w:lang w:eastAsia="en-US"/>
        </w:rPr>
        <w:t xml:space="preserve">Another advantage is that there is automatic bad debt relief. There are conditions to meet to join the scheme including </w:t>
      </w:r>
      <w:r w:rsidR="00EE3443">
        <w:rPr>
          <w:rFonts w:ascii="Verdana" w:eastAsiaTheme="minorHAnsi" w:hAnsi="Verdana" w:cs="Arial"/>
          <w:color w:val="000000" w:themeColor="text1"/>
          <w:sz w:val="20"/>
          <w:szCs w:val="22"/>
          <w:lang w:eastAsia="en-US"/>
        </w:rPr>
        <w:t xml:space="preserve">that </w:t>
      </w:r>
      <w:r w:rsidRPr="00696A61">
        <w:rPr>
          <w:rFonts w:ascii="Verdana" w:eastAsiaTheme="minorHAnsi" w:hAnsi="Verdana" w:cs="Arial"/>
          <w:color w:val="000000" w:themeColor="text1"/>
          <w:sz w:val="20"/>
          <w:szCs w:val="22"/>
          <w:lang w:eastAsia="en-US"/>
        </w:rPr>
        <w:t xml:space="preserve">there are reasonable grounds for believing that the value of taxable supplies will not exceed £1.35m in the next 12 months and there are no outstanding VAT returns or liabilities. </w:t>
      </w:r>
      <w:r w:rsidR="00C539F3">
        <w:rPr>
          <w:rFonts w:ascii="Verdana" w:eastAsiaTheme="minorHAnsi" w:hAnsi="Verdana" w:cs="Arial"/>
          <w:color w:val="000000" w:themeColor="text1"/>
          <w:sz w:val="20"/>
          <w:szCs w:val="22"/>
          <w:lang w:eastAsia="en-US"/>
        </w:rPr>
        <w:t>A business can chose to remain in the scheme until their turnover in the 12 months to the end of a return period exceeds £1.6m</w:t>
      </w:r>
      <w:r w:rsidR="00002D85">
        <w:rPr>
          <w:rFonts w:ascii="Verdana" w:eastAsiaTheme="minorHAnsi" w:hAnsi="Verdana" w:cs="Arial"/>
          <w:color w:val="000000" w:themeColor="text1"/>
          <w:sz w:val="20"/>
          <w:szCs w:val="22"/>
          <w:lang w:eastAsia="en-US"/>
        </w:rPr>
        <w:t>.</w:t>
      </w:r>
    </w:p>
    <w:p w14:paraId="63F5196B" w14:textId="77777777" w:rsidR="00805D54" w:rsidRPr="00696A61" w:rsidRDefault="00805D54" w:rsidP="00696A61">
      <w:pPr>
        <w:pStyle w:val="NormalWeb"/>
        <w:shd w:val="clear" w:color="auto" w:fill="FFFFFF"/>
        <w:spacing w:before="300" w:beforeAutospacing="0" w:after="300" w:afterAutospacing="0"/>
        <w:rPr>
          <w:rFonts w:ascii="Arial" w:hAnsi="Arial" w:cs="Arial"/>
          <w:color w:val="0B0C0C"/>
          <w:sz w:val="29"/>
          <w:szCs w:val="29"/>
        </w:rPr>
      </w:pPr>
      <w:r w:rsidRPr="00D85ACA">
        <w:rPr>
          <w:rFonts w:ascii="Verdana" w:eastAsiaTheme="minorHAnsi" w:hAnsi="Verdana" w:cs="Arial"/>
          <w:b/>
          <w:color w:val="000000" w:themeColor="text1"/>
          <w:sz w:val="20"/>
          <w:szCs w:val="22"/>
          <w:lang w:eastAsia="en-US"/>
        </w:rPr>
        <w:t>Annual Accounting</w:t>
      </w:r>
    </w:p>
    <w:p w14:paraId="73DB2AF1" w14:textId="77777777" w:rsidR="00B9229F" w:rsidRDefault="00696A61" w:rsidP="00EE3443">
      <w:pPr>
        <w:shd w:val="clear" w:color="auto" w:fill="FFFFFF"/>
        <w:spacing w:before="300" w:after="300"/>
      </w:pPr>
      <w:r w:rsidRPr="00EE3443">
        <w:t xml:space="preserve">Under this scheme, businesses only complete one VAT return each year instead of the usual 4. Instalments of the expected VAT liability are made during the year with a balancing payment at the year end. </w:t>
      </w:r>
    </w:p>
    <w:p w14:paraId="4CDD03FF" w14:textId="1F21EF04" w:rsidR="00EE3443" w:rsidRDefault="00696A61" w:rsidP="00EE3443">
      <w:pPr>
        <w:shd w:val="clear" w:color="auto" w:fill="FFFFFF"/>
        <w:spacing w:before="300" w:after="300"/>
      </w:pPr>
      <w:r w:rsidRPr="00EE3443">
        <w:t>Additional voluntary payments can also be made</w:t>
      </w:r>
      <w:r w:rsidR="00C539F3" w:rsidRPr="00EE3443">
        <w:t xml:space="preserve"> as and when funds allow</w:t>
      </w:r>
      <w:r w:rsidRPr="00EE3443">
        <w:t>. The main advantage to this scheme is that i</w:t>
      </w:r>
      <w:r w:rsidR="00C539F3" w:rsidRPr="00EE3443">
        <w:t xml:space="preserve">t allows businesses to smooth out their VAT liability over the year and they get 2 months to submit their annual VAT return and balancing payment instead of 1. Businesses with expected taxable supplies of up to £1.35m can apply to join the </w:t>
      </w:r>
      <w:r w:rsidR="00C012CB" w:rsidRPr="00EE3443">
        <w:t>scheme</w:t>
      </w:r>
      <w:r w:rsidR="00C539F3" w:rsidRPr="00EE3443">
        <w:t xml:space="preserve"> and can remain in it until the value of their taxable supplies exceeds £1.6m.</w:t>
      </w:r>
    </w:p>
    <w:p w14:paraId="55EF3D94" w14:textId="77777777" w:rsidR="00805D54" w:rsidRPr="00EE3443" w:rsidRDefault="00805D54" w:rsidP="00EE3443">
      <w:pPr>
        <w:shd w:val="clear" w:color="auto" w:fill="FFFFFF"/>
        <w:spacing w:before="300" w:after="300"/>
        <w:jc w:val="left"/>
        <w:rPr>
          <w:b/>
        </w:rPr>
      </w:pPr>
      <w:r w:rsidRPr="00EE3443">
        <w:rPr>
          <w:b/>
        </w:rPr>
        <w:t xml:space="preserve">Monthly </w:t>
      </w:r>
      <w:r w:rsidR="00EE3443">
        <w:rPr>
          <w:b/>
        </w:rPr>
        <w:t>VAT R</w:t>
      </w:r>
      <w:r w:rsidRPr="00EE3443">
        <w:rPr>
          <w:b/>
        </w:rPr>
        <w:t>eturns</w:t>
      </w:r>
    </w:p>
    <w:p w14:paraId="561A3ED7" w14:textId="1EF9EAD1" w:rsidR="004106EE" w:rsidRDefault="00805D54" w:rsidP="00C012CB">
      <w:pPr>
        <w:shd w:val="clear" w:color="auto" w:fill="FFFFFF"/>
        <w:spacing w:before="300" w:after="300"/>
      </w:pPr>
      <w:r w:rsidRPr="00EE3443">
        <w:lastRenderedPageBreak/>
        <w:t xml:space="preserve">If </w:t>
      </w:r>
      <w:r w:rsidR="004106EE">
        <w:t xml:space="preserve">a business’s output tax is regularly less than its input tax (e.g. </w:t>
      </w:r>
      <w:r w:rsidR="00755EA3">
        <w:t>zero-rated</w:t>
      </w:r>
      <w:r w:rsidR="004106EE">
        <w:t xml:space="preserve"> sales) consideration should be given to switching to preparing VAT returns on a monthly basis. While this may increase the administration requirement, it will enable businesses to receive their refunds from HMRC far sooner than preparing returns on a quarterly basis. To switch to filing monthly, an application needs to be submitted to HMRC. </w:t>
      </w:r>
    </w:p>
    <w:p w14:paraId="47E9A369" w14:textId="77777777" w:rsidR="00FB46B4" w:rsidRPr="00C012CB" w:rsidRDefault="00FB46B4" w:rsidP="004170CD">
      <w:pPr>
        <w:pStyle w:val="NormalWeb"/>
        <w:shd w:val="clear" w:color="auto" w:fill="FFFFFF"/>
        <w:spacing w:before="300" w:beforeAutospacing="0" w:after="300" w:afterAutospacing="0"/>
        <w:textAlignment w:val="baseline"/>
        <w:rPr>
          <w:rFonts w:ascii="Verdana" w:eastAsiaTheme="minorHAnsi" w:hAnsi="Verdana" w:cs="Arial"/>
          <w:b/>
          <w:color w:val="000000" w:themeColor="text1"/>
          <w:sz w:val="20"/>
          <w:szCs w:val="22"/>
          <w:lang w:eastAsia="en-US"/>
        </w:rPr>
      </w:pPr>
      <w:r w:rsidRPr="00C012CB">
        <w:rPr>
          <w:rFonts w:ascii="Verdana" w:eastAsiaTheme="minorHAnsi" w:hAnsi="Verdana" w:cs="Arial"/>
          <w:b/>
          <w:color w:val="000000" w:themeColor="text1"/>
          <w:sz w:val="20"/>
          <w:szCs w:val="22"/>
          <w:lang w:eastAsia="en-US"/>
        </w:rPr>
        <w:t>Deferring Import VAT</w:t>
      </w:r>
    </w:p>
    <w:p w14:paraId="692EBCCC" w14:textId="77777777" w:rsidR="00C012CB" w:rsidRPr="00531F80" w:rsidRDefault="00C012CB" w:rsidP="00531F80">
      <w:pPr>
        <w:shd w:val="clear" w:color="auto" w:fill="FFFFFF"/>
        <w:spacing w:after="300"/>
        <w:rPr>
          <w:b/>
        </w:rPr>
      </w:pPr>
      <w:r w:rsidRPr="00531F80">
        <w:t>For businesses who regularly import goods it is possible to defer paying import duty and VAT by applying for a duty deferment account with HMRC. The advantage to this is that instead o</w:t>
      </w:r>
      <w:r w:rsidR="00AA7701" w:rsidRPr="00531F80">
        <w:t>f paying on import for each individual consignment</w:t>
      </w:r>
      <w:r w:rsidRPr="00531F80">
        <w:t xml:space="preserve">, businesses can </w:t>
      </w:r>
      <w:r w:rsidR="00AA7701" w:rsidRPr="00531F80">
        <w:t>make one payment a month by direct debit from the importer’s account to HMRC. Goods will normally be cleared for release more quickly.</w:t>
      </w:r>
      <w:r w:rsidR="00AA7701" w:rsidRPr="00531F80">
        <w:rPr>
          <w:b/>
        </w:rPr>
        <w:t xml:space="preserve"> </w:t>
      </w:r>
    </w:p>
    <w:p w14:paraId="410DCD27" w14:textId="77777777" w:rsidR="00FB46B4" w:rsidRPr="00531F80" w:rsidRDefault="00AA7701" w:rsidP="00FB46B4">
      <w:pPr>
        <w:shd w:val="clear" w:color="auto" w:fill="FFFFFF"/>
        <w:spacing w:before="300" w:after="300"/>
        <w:jc w:val="left"/>
        <w:rPr>
          <w:b/>
        </w:rPr>
      </w:pPr>
      <w:r w:rsidRPr="00531F80">
        <w:rPr>
          <w:b/>
        </w:rPr>
        <w:t>Capital Allowances</w:t>
      </w:r>
    </w:p>
    <w:p w14:paraId="4984325A" w14:textId="77777777" w:rsidR="00AA7701" w:rsidRPr="006C2F4A" w:rsidRDefault="00AA7701" w:rsidP="006C2F4A">
      <w:pPr>
        <w:shd w:val="clear" w:color="auto" w:fill="FFFFFF"/>
        <w:spacing w:before="300" w:after="300"/>
      </w:pPr>
      <w:r w:rsidRPr="006C2F4A">
        <w:t xml:space="preserve">Capital allowances provide </w:t>
      </w:r>
      <w:r w:rsidR="006C2F4A" w:rsidRPr="006C2F4A">
        <w:t xml:space="preserve">tax </w:t>
      </w:r>
      <w:r w:rsidRPr="006C2F4A">
        <w:t xml:space="preserve">relief to businesses in respect of capital expenditure </w:t>
      </w:r>
      <w:r w:rsidR="006C2F4A" w:rsidRPr="006C2F4A">
        <w:t xml:space="preserve">incurred </w:t>
      </w:r>
      <w:r w:rsidRPr="006C2F4A">
        <w:t>on</w:t>
      </w:r>
      <w:r w:rsidR="006C2F4A" w:rsidRPr="006C2F4A">
        <w:t xml:space="preserve"> qualifying</w:t>
      </w:r>
      <w:r w:rsidRPr="006C2F4A">
        <w:t xml:space="preserve"> </w:t>
      </w:r>
      <w:r w:rsidR="00531F80" w:rsidRPr="006C2F4A">
        <w:t>equipment</w:t>
      </w:r>
      <w:r w:rsidRPr="006C2F4A">
        <w:t xml:space="preserve">, fixtures and fittings and motor vehicles. </w:t>
      </w:r>
    </w:p>
    <w:p w14:paraId="6F8C70B9" w14:textId="77777777" w:rsidR="00AA7701" w:rsidRPr="006C2F4A" w:rsidRDefault="006C2F4A" w:rsidP="006C2F4A">
      <w:pPr>
        <w:shd w:val="clear" w:color="auto" w:fill="FFFFFF"/>
        <w:spacing w:before="300" w:after="300"/>
      </w:pPr>
      <w:r w:rsidRPr="006C2F4A">
        <w:t>The</w:t>
      </w:r>
      <w:r w:rsidR="00531F80" w:rsidRPr="006C2F4A">
        <w:t xml:space="preserve"> </w:t>
      </w:r>
      <w:r w:rsidR="00AA7701" w:rsidRPr="006C2F4A">
        <w:t>Annual Investment Allowance</w:t>
      </w:r>
      <w:r w:rsidRPr="006C2F4A">
        <w:t xml:space="preserve"> (AIA)</w:t>
      </w:r>
      <w:r w:rsidR="00AA7701" w:rsidRPr="006C2F4A">
        <w:t xml:space="preserve"> </w:t>
      </w:r>
      <w:r w:rsidRPr="006C2F4A">
        <w:t>provides</w:t>
      </w:r>
      <w:r w:rsidR="00AA7701" w:rsidRPr="006C2F4A">
        <w:t xml:space="preserve"> for 100% </w:t>
      </w:r>
      <w:r w:rsidRPr="006C2F4A">
        <w:t xml:space="preserve">tax </w:t>
      </w:r>
      <w:r w:rsidR="00AA7701" w:rsidRPr="006C2F4A">
        <w:t xml:space="preserve">relief on </w:t>
      </w:r>
      <w:r w:rsidR="00531F80" w:rsidRPr="006C2F4A">
        <w:t xml:space="preserve">qualifying </w:t>
      </w:r>
      <w:r w:rsidR="00AA7701" w:rsidRPr="006C2F4A">
        <w:t xml:space="preserve">expenditure </w:t>
      </w:r>
      <w:r w:rsidR="00531F80" w:rsidRPr="006C2F4A">
        <w:t>incurred</w:t>
      </w:r>
      <w:r w:rsidRPr="006C2F4A">
        <w:t xml:space="preserve"> on certain qualifying plant and machinery subject to an annual maximum limit. The current limit </w:t>
      </w:r>
      <w:r w:rsidR="00531F80" w:rsidRPr="006C2F4A">
        <w:t>is £1million up to 31 December 2020.</w:t>
      </w:r>
    </w:p>
    <w:p w14:paraId="79CD54BA" w14:textId="77777777" w:rsidR="00531F80" w:rsidRPr="006C2F4A" w:rsidRDefault="006C2F4A" w:rsidP="006C2F4A">
      <w:pPr>
        <w:shd w:val="clear" w:color="auto" w:fill="FFFFFF"/>
        <w:spacing w:before="300" w:after="300"/>
      </w:pPr>
      <w:r w:rsidRPr="006C2F4A">
        <w:t>W</w:t>
      </w:r>
      <w:r w:rsidR="00531F80" w:rsidRPr="006C2F4A">
        <w:t xml:space="preserve">here expenditure is incurred which does not qualify for AIA or </w:t>
      </w:r>
      <w:r w:rsidRPr="006C2F4A">
        <w:t>where the AIA limit is exceeded a writing down allowance can be claimed</w:t>
      </w:r>
      <w:r w:rsidR="00531F80" w:rsidRPr="006C2F4A">
        <w:t xml:space="preserve"> </w:t>
      </w:r>
      <w:r>
        <w:t xml:space="preserve">at the rate of 18% or 6% depending on the category the asset falls into. </w:t>
      </w:r>
    </w:p>
    <w:p w14:paraId="55385696" w14:textId="77777777" w:rsidR="00B51A8F" w:rsidRDefault="00B51A8F" w:rsidP="00B51A8F">
      <w:pPr>
        <w:shd w:val="clear" w:color="auto" w:fill="FFFFFF"/>
        <w:spacing w:before="300" w:after="300"/>
      </w:pPr>
      <w:r w:rsidRPr="00B51A8F">
        <w:t xml:space="preserve">Research and Development </w:t>
      </w:r>
      <w:r>
        <w:t xml:space="preserve">(R&amp;D) </w:t>
      </w:r>
      <w:r w:rsidRPr="00B51A8F">
        <w:t xml:space="preserve">Capital Allowances provide </w:t>
      </w:r>
      <w:r>
        <w:t>100% tax relief for capital expenditure incurred on capital assets used for R&amp;D purposes or in providing facilities for carrying out R&amp;D.</w:t>
      </w:r>
    </w:p>
    <w:p w14:paraId="6D5E8B6F" w14:textId="77777777" w:rsidR="00AA7701" w:rsidRPr="00B51A8F" w:rsidRDefault="00B51A8F" w:rsidP="00FB46B4">
      <w:pPr>
        <w:shd w:val="clear" w:color="auto" w:fill="FFFFFF"/>
        <w:spacing w:before="300" w:after="300"/>
        <w:jc w:val="left"/>
        <w:rPr>
          <w:b/>
        </w:rPr>
      </w:pPr>
      <w:r w:rsidRPr="00B51A8F">
        <w:rPr>
          <w:b/>
        </w:rPr>
        <w:t>Research and Development</w:t>
      </w:r>
    </w:p>
    <w:p w14:paraId="5F182472" w14:textId="77777777" w:rsidR="00B51A8F" w:rsidRDefault="00B51A8F" w:rsidP="00A233CE">
      <w:pPr>
        <w:shd w:val="clear" w:color="auto" w:fill="FFFFFF"/>
        <w:spacing w:after="300"/>
      </w:pPr>
      <w:r w:rsidRPr="00B51A8F">
        <w:t xml:space="preserve">Research and Development (R&amp;D) </w:t>
      </w:r>
      <w:r>
        <w:t xml:space="preserve">relief provides </w:t>
      </w:r>
      <w:r w:rsidR="006C0431">
        <w:t xml:space="preserve">tax relief </w:t>
      </w:r>
      <w:r>
        <w:t>for companies</w:t>
      </w:r>
      <w:r w:rsidR="006C0431">
        <w:t xml:space="preserve"> that undertake work on innovative projects that seek to achieve an advance in science or technology through the resolution of scientific or technological uncertainty. </w:t>
      </w:r>
      <w:r w:rsidRPr="00B51A8F">
        <w:t>It can even be claimed on unsuccessful projects.</w:t>
      </w:r>
    </w:p>
    <w:p w14:paraId="3C3B24D2" w14:textId="77777777" w:rsidR="006C0431" w:rsidRDefault="006C0431" w:rsidP="00A233CE">
      <w:pPr>
        <w:shd w:val="clear" w:color="auto" w:fill="FFFFFF"/>
        <w:spacing w:after="300"/>
      </w:pPr>
      <w:r>
        <w:t xml:space="preserve">This relief allows for Small and Medium Enterprises to deduct an additional 130% of qualifying costs from their profit in addition to the normal deduction. In cases where a company is loss making a tax credit can be claimed up to 14.5% of the </w:t>
      </w:r>
      <w:proofErr w:type="spellStart"/>
      <w:r>
        <w:t>surrenderable</w:t>
      </w:r>
      <w:proofErr w:type="spellEnd"/>
      <w:r>
        <w:t xml:space="preserve"> loss. </w:t>
      </w:r>
    </w:p>
    <w:p w14:paraId="44006C59" w14:textId="77777777" w:rsidR="006C0431" w:rsidRDefault="006C0431" w:rsidP="00A233CE">
      <w:pPr>
        <w:shd w:val="clear" w:color="auto" w:fill="FFFFFF"/>
        <w:spacing w:after="300"/>
      </w:pPr>
      <w:r>
        <w:t>Large companies</w:t>
      </w:r>
      <w:r w:rsidR="00A233CE">
        <w:t>, or small companies which are unable to claim under the SME scheme</w:t>
      </w:r>
      <w:r>
        <w:t xml:space="preserve"> can claim a</w:t>
      </w:r>
      <w:r w:rsidR="00A233CE">
        <w:t>n</w:t>
      </w:r>
      <w:r>
        <w:t xml:space="preserve"> R&amp;D Expenditure Credit which is a </w:t>
      </w:r>
      <w:r w:rsidR="00A233CE">
        <w:t xml:space="preserve">calculated at </w:t>
      </w:r>
      <w:r>
        <w:t xml:space="preserve">13% of </w:t>
      </w:r>
      <w:r w:rsidR="00A233CE">
        <w:t xml:space="preserve">the qualifying R&amp;D expenditure and is taxable. The credit can be used to pay the Corporation Tax liability or result in a cash payment. </w:t>
      </w:r>
    </w:p>
    <w:p w14:paraId="5F4966ED" w14:textId="77777777" w:rsidR="00B51A8F" w:rsidRPr="00FB46B4" w:rsidRDefault="00B51A8F" w:rsidP="00FB46B4">
      <w:pPr>
        <w:shd w:val="clear" w:color="auto" w:fill="FFFFFF"/>
        <w:spacing w:before="300" w:after="300"/>
        <w:jc w:val="left"/>
        <w:rPr>
          <w:rFonts w:ascii="Arial" w:eastAsia="Times New Roman" w:hAnsi="Arial"/>
          <w:color w:val="0B0C0C"/>
          <w:sz w:val="29"/>
          <w:szCs w:val="29"/>
          <w:lang w:eastAsia="en-GB"/>
        </w:rPr>
      </w:pPr>
    </w:p>
    <w:sectPr w:rsidR="00B51A8F" w:rsidRPr="00FB46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488E7" w14:textId="77777777" w:rsidR="0079504A" w:rsidRDefault="0079504A" w:rsidP="00FB46B4">
      <w:r>
        <w:separator/>
      </w:r>
    </w:p>
  </w:endnote>
  <w:endnote w:type="continuationSeparator" w:id="0">
    <w:p w14:paraId="792FC6E7" w14:textId="77777777" w:rsidR="0079504A" w:rsidRDefault="0079504A" w:rsidP="00FB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5991C" w14:textId="77777777" w:rsidR="0079504A" w:rsidRDefault="0079504A" w:rsidP="00FB46B4">
      <w:r>
        <w:separator/>
      </w:r>
    </w:p>
  </w:footnote>
  <w:footnote w:type="continuationSeparator" w:id="0">
    <w:p w14:paraId="07F9CD34" w14:textId="77777777" w:rsidR="0079504A" w:rsidRDefault="0079504A" w:rsidP="00FB4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A83"/>
    <w:multiLevelType w:val="multilevel"/>
    <w:tmpl w:val="3C86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C67F1"/>
    <w:multiLevelType w:val="multilevel"/>
    <w:tmpl w:val="C82E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C220C6"/>
    <w:multiLevelType w:val="multilevel"/>
    <w:tmpl w:val="F2AC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C1604"/>
    <w:multiLevelType w:val="multilevel"/>
    <w:tmpl w:val="830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A62C6"/>
    <w:multiLevelType w:val="multilevel"/>
    <w:tmpl w:val="1AE4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9C283D"/>
    <w:multiLevelType w:val="multilevel"/>
    <w:tmpl w:val="D1A0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348FE"/>
    <w:multiLevelType w:val="multilevel"/>
    <w:tmpl w:val="FE38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FC0E1B"/>
    <w:multiLevelType w:val="multilevel"/>
    <w:tmpl w:val="B840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700406"/>
    <w:multiLevelType w:val="multilevel"/>
    <w:tmpl w:val="1DD8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4A0A52"/>
    <w:multiLevelType w:val="multilevel"/>
    <w:tmpl w:val="22F8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4A700F"/>
    <w:multiLevelType w:val="multilevel"/>
    <w:tmpl w:val="81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E862F0"/>
    <w:multiLevelType w:val="multilevel"/>
    <w:tmpl w:val="A38C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D741F1"/>
    <w:multiLevelType w:val="multilevel"/>
    <w:tmpl w:val="0B5E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0874AE"/>
    <w:multiLevelType w:val="multilevel"/>
    <w:tmpl w:val="15E4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C245A0"/>
    <w:multiLevelType w:val="multilevel"/>
    <w:tmpl w:val="8986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2854C3"/>
    <w:multiLevelType w:val="multilevel"/>
    <w:tmpl w:val="0606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514E49"/>
    <w:multiLevelType w:val="multilevel"/>
    <w:tmpl w:val="F520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0"/>
  </w:num>
  <w:num w:numId="3">
    <w:abstractNumId w:val="9"/>
  </w:num>
  <w:num w:numId="4">
    <w:abstractNumId w:val="6"/>
  </w:num>
  <w:num w:numId="5">
    <w:abstractNumId w:val="11"/>
  </w:num>
  <w:num w:numId="6">
    <w:abstractNumId w:val="15"/>
  </w:num>
  <w:num w:numId="7">
    <w:abstractNumId w:val="8"/>
  </w:num>
  <w:num w:numId="8">
    <w:abstractNumId w:val="13"/>
  </w:num>
  <w:num w:numId="9">
    <w:abstractNumId w:val="1"/>
  </w:num>
  <w:num w:numId="10">
    <w:abstractNumId w:val="0"/>
  </w:num>
  <w:num w:numId="11">
    <w:abstractNumId w:val="2"/>
  </w:num>
  <w:num w:numId="12">
    <w:abstractNumId w:val="5"/>
  </w:num>
  <w:num w:numId="13">
    <w:abstractNumId w:val="7"/>
  </w:num>
  <w:num w:numId="14">
    <w:abstractNumId w:val="12"/>
  </w:num>
  <w:num w:numId="15">
    <w:abstractNumId w:val="3"/>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CD"/>
    <w:rsid w:val="00002D85"/>
    <w:rsid w:val="003501EF"/>
    <w:rsid w:val="003F7EEA"/>
    <w:rsid w:val="004106EE"/>
    <w:rsid w:val="004170CD"/>
    <w:rsid w:val="00433597"/>
    <w:rsid w:val="00490C31"/>
    <w:rsid w:val="00531F80"/>
    <w:rsid w:val="00676684"/>
    <w:rsid w:val="00685BB7"/>
    <w:rsid w:val="00696A61"/>
    <w:rsid w:val="006C0431"/>
    <w:rsid w:val="006C2F4A"/>
    <w:rsid w:val="006C557C"/>
    <w:rsid w:val="0073785A"/>
    <w:rsid w:val="00755EA3"/>
    <w:rsid w:val="00782E5C"/>
    <w:rsid w:val="0079504A"/>
    <w:rsid w:val="00805D54"/>
    <w:rsid w:val="00830BE6"/>
    <w:rsid w:val="009E1983"/>
    <w:rsid w:val="00A233CE"/>
    <w:rsid w:val="00A56115"/>
    <w:rsid w:val="00A72F09"/>
    <w:rsid w:val="00A8020C"/>
    <w:rsid w:val="00A8739F"/>
    <w:rsid w:val="00AA7701"/>
    <w:rsid w:val="00AC7FB4"/>
    <w:rsid w:val="00B50D8B"/>
    <w:rsid w:val="00B51A8F"/>
    <w:rsid w:val="00B9229F"/>
    <w:rsid w:val="00C012CB"/>
    <w:rsid w:val="00C437D3"/>
    <w:rsid w:val="00C539F3"/>
    <w:rsid w:val="00D85ACA"/>
    <w:rsid w:val="00EE3443"/>
    <w:rsid w:val="00F217B7"/>
    <w:rsid w:val="00F334A3"/>
    <w:rsid w:val="00FB46B4"/>
    <w:rsid w:val="00FB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A764"/>
  <w15:chartTrackingRefBased/>
  <w15:docId w15:val="{24042000-3E3E-4FF2-9384-6A47B53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Arial"/>
        <w:color w:val="000000" w:themeColor="text1"/>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70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170CD"/>
    <w:pPr>
      <w:spacing w:before="100" w:beforeAutospacing="1" w:after="100" w:afterAutospacing="1"/>
      <w:jc w:val="left"/>
      <w:outlineLvl w:val="2"/>
    </w:pPr>
    <w:rPr>
      <w:rFonts w:ascii="Times New Roman" w:eastAsia="Times New Roman" w:hAnsi="Times New Roman" w:cs="Times New Roman"/>
      <w:b/>
      <w:bCs/>
      <w:color w:val="auto"/>
      <w:sz w:val="27"/>
      <w:szCs w:val="27"/>
      <w:lang w:eastAsia="en-GB"/>
    </w:rPr>
  </w:style>
  <w:style w:type="paragraph" w:styleId="Heading4">
    <w:name w:val="heading 4"/>
    <w:basedOn w:val="Normal"/>
    <w:next w:val="Normal"/>
    <w:link w:val="Heading4Char"/>
    <w:uiPriority w:val="9"/>
    <w:semiHidden/>
    <w:unhideWhenUsed/>
    <w:qFormat/>
    <w:rsid w:val="004170C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0CD"/>
    <w:pPr>
      <w:spacing w:before="100" w:beforeAutospacing="1" w:after="100" w:afterAutospacing="1"/>
      <w:jc w:val="left"/>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semiHidden/>
    <w:unhideWhenUsed/>
    <w:rsid w:val="004170CD"/>
    <w:rPr>
      <w:color w:val="0000FF"/>
      <w:u w:val="single"/>
    </w:rPr>
  </w:style>
  <w:style w:type="character" w:customStyle="1" w:styleId="Heading3Char">
    <w:name w:val="Heading 3 Char"/>
    <w:basedOn w:val="DefaultParagraphFont"/>
    <w:link w:val="Heading3"/>
    <w:uiPriority w:val="9"/>
    <w:rsid w:val="004170CD"/>
    <w:rPr>
      <w:rFonts w:ascii="Times New Roman" w:eastAsia="Times New Roman" w:hAnsi="Times New Roman" w:cs="Times New Roman"/>
      <w:b/>
      <w:bCs/>
      <w:color w:val="auto"/>
      <w:sz w:val="27"/>
      <w:szCs w:val="27"/>
      <w:lang w:eastAsia="en-GB"/>
    </w:rPr>
  </w:style>
  <w:style w:type="character" w:customStyle="1" w:styleId="Heading2Char">
    <w:name w:val="Heading 2 Char"/>
    <w:basedOn w:val="DefaultParagraphFont"/>
    <w:link w:val="Heading2"/>
    <w:uiPriority w:val="9"/>
    <w:semiHidden/>
    <w:rsid w:val="004170CD"/>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4170CD"/>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FB46B4"/>
    <w:pPr>
      <w:tabs>
        <w:tab w:val="center" w:pos="4513"/>
        <w:tab w:val="right" w:pos="9026"/>
      </w:tabs>
    </w:pPr>
  </w:style>
  <w:style w:type="character" w:customStyle="1" w:styleId="HeaderChar">
    <w:name w:val="Header Char"/>
    <w:basedOn w:val="DefaultParagraphFont"/>
    <w:link w:val="Header"/>
    <w:uiPriority w:val="99"/>
    <w:rsid w:val="00FB46B4"/>
  </w:style>
  <w:style w:type="paragraph" w:styleId="Footer">
    <w:name w:val="footer"/>
    <w:basedOn w:val="Normal"/>
    <w:link w:val="FooterChar"/>
    <w:uiPriority w:val="99"/>
    <w:unhideWhenUsed/>
    <w:rsid w:val="00FB46B4"/>
    <w:pPr>
      <w:tabs>
        <w:tab w:val="center" w:pos="4513"/>
        <w:tab w:val="right" w:pos="9026"/>
      </w:tabs>
    </w:pPr>
  </w:style>
  <w:style w:type="character" w:customStyle="1" w:styleId="FooterChar">
    <w:name w:val="Footer Char"/>
    <w:basedOn w:val="DefaultParagraphFont"/>
    <w:link w:val="Footer"/>
    <w:uiPriority w:val="99"/>
    <w:rsid w:val="00FB46B4"/>
  </w:style>
  <w:style w:type="character" w:styleId="Strong">
    <w:name w:val="Strong"/>
    <w:basedOn w:val="DefaultParagraphFont"/>
    <w:uiPriority w:val="22"/>
    <w:qFormat/>
    <w:rsid w:val="00531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3294">
      <w:bodyDiv w:val="1"/>
      <w:marLeft w:val="0"/>
      <w:marRight w:val="0"/>
      <w:marTop w:val="0"/>
      <w:marBottom w:val="0"/>
      <w:divBdr>
        <w:top w:val="none" w:sz="0" w:space="0" w:color="auto"/>
        <w:left w:val="none" w:sz="0" w:space="0" w:color="auto"/>
        <w:bottom w:val="none" w:sz="0" w:space="0" w:color="auto"/>
        <w:right w:val="none" w:sz="0" w:space="0" w:color="auto"/>
      </w:divBdr>
    </w:div>
    <w:div w:id="114955679">
      <w:bodyDiv w:val="1"/>
      <w:marLeft w:val="0"/>
      <w:marRight w:val="0"/>
      <w:marTop w:val="0"/>
      <w:marBottom w:val="0"/>
      <w:divBdr>
        <w:top w:val="none" w:sz="0" w:space="0" w:color="auto"/>
        <w:left w:val="none" w:sz="0" w:space="0" w:color="auto"/>
        <w:bottom w:val="none" w:sz="0" w:space="0" w:color="auto"/>
        <w:right w:val="none" w:sz="0" w:space="0" w:color="auto"/>
      </w:divBdr>
    </w:div>
    <w:div w:id="255796015">
      <w:bodyDiv w:val="1"/>
      <w:marLeft w:val="0"/>
      <w:marRight w:val="0"/>
      <w:marTop w:val="0"/>
      <w:marBottom w:val="0"/>
      <w:divBdr>
        <w:top w:val="none" w:sz="0" w:space="0" w:color="auto"/>
        <w:left w:val="none" w:sz="0" w:space="0" w:color="auto"/>
        <w:bottom w:val="none" w:sz="0" w:space="0" w:color="auto"/>
        <w:right w:val="none" w:sz="0" w:space="0" w:color="auto"/>
      </w:divBdr>
    </w:div>
    <w:div w:id="329993084">
      <w:bodyDiv w:val="1"/>
      <w:marLeft w:val="0"/>
      <w:marRight w:val="0"/>
      <w:marTop w:val="0"/>
      <w:marBottom w:val="0"/>
      <w:divBdr>
        <w:top w:val="none" w:sz="0" w:space="0" w:color="auto"/>
        <w:left w:val="none" w:sz="0" w:space="0" w:color="auto"/>
        <w:bottom w:val="none" w:sz="0" w:space="0" w:color="auto"/>
        <w:right w:val="none" w:sz="0" w:space="0" w:color="auto"/>
      </w:divBdr>
    </w:div>
    <w:div w:id="417479567">
      <w:bodyDiv w:val="1"/>
      <w:marLeft w:val="0"/>
      <w:marRight w:val="0"/>
      <w:marTop w:val="0"/>
      <w:marBottom w:val="0"/>
      <w:divBdr>
        <w:top w:val="none" w:sz="0" w:space="0" w:color="auto"/>
        <w:left w:val="none" w:sz="0" w:space="0" w:color="auto"/>
        <w:bottom w:val="none" w:sz="0" w:space="0" w:color="auto"/>
        <w:right w:val="none" w:sz="0" w:space="0" w:color="auto"/>
      </w:divBdr>
    </w:div>
    <w:div w:id="786314464">
      <w:bodyDiv w:val="1"/>
      <w:marLeft w:val="0"/>
      <w:marRight w:val="0"/>
      <w:marTop w:val="0"/>
      <w:marBottom w:val="0"/>
      <w:divBdr>
        <w:top w:val="none" w:sz="0" w:space="0" w:color="auto"/>
        <w:left w:val="none" w:sz="0" w:space="0" w:color="auto"/>
        <w:bottom w:val="none" w:sz="0" w:space="0" w:color="auto"/>
        <w:right w:val="none" w:sz="0" w:space="0" w:color="auto"/>
      </w:divBdr>
    </w:div>
    <w:div w:id="920717635">
      <w:bodyDiv w:val="1"/>
      <w:marLeft w:val="0"/>
      <w:marRight w:val="0"/>
      <w:marTop w:val="0"/>
      <w:marBottom w:val="0"/>
      <w:divBdr>
        <w:top w:val="none" w:sz="0" w:space="0" w:color="auto"/>
        <w:left w:val="none" w:sz="0" w:space="0" w:color="auto"/>
        <w:bottom w:val="none" w:sz="0" w:space="0" w:color="auto"/>
        <w:right w:val="none" w:sz="0" w:space="0" w:color="auto"/>
      </w:divBdr>
    </w:div>
    <w:div w:id="930308803">
      <w:bodyDiv w:val="1"/>
      <w:marLeft w:val="0"/>
      <w:marRight w:val="0"/>
      <w:marTop w:val="0"/>
      <w:marBottom w:val="0"/>
      <w:divBdr>
        <w:top w:val="none" w:sz="0" w:space="0" w:color="auto"/>
        <w:left w:val="none" w:sz="0" w:space="0" w:color="auto"/>
        <w:bottom w:val="none" w:sz="0" w:space="0" w:color="auto"/>
        <w:right w:val="none" w:sz="0" w:space="0" w:color="auto"/>
      </w:divBdr>
    </w:div>
    <w:div w:id="1021392113">
      <w:bodyDiv w:val="1"/>
      <w:marLeft w:val="0"/>
      <w:marRight w:val="0"/>
      <w:marTop w:val="0"/>
      <w:marBottom w:val="0"/>
      <w:divBdr>
        <w:top w:val="none" w:sz="0" w:space="0" w:color="auto"/>
        <w:left w:val="none" w:sz="0" w:space="0" w:color="auto"/>
        <w:bottom w:val="none" w:sz="0" w:space="0" w:color="auto"/>
        <w:right w:val="none" w:sz="0" w:space="0" w:color="auto"/>
      </w:divBdr>
    </w:div>
    <w:div w:id="1077169862">
      <w:bodyDiv w:val="1"/>
      <w:marLeft w:val="0"/>
      <w:marRight w:val="0"/>
      <w:marTop w:val="0"/>
      <w:marBottom w:val="0"/>
      <w:divBdr>
        <w:top w:val="none" w:sz="0" w:space="0" w:color="auto"/>
        <w:left w:val="none" w:sz="0" w:space="0" w:color="auto"/>
        <w:bottom w:val="none" w:sz="0" w:space="0" w:color="auto"/>
        <w:right w:val="none" w:sz="0" w:space="0" w:color="auto"/>
      </w:divBdr>
    </w:div>
    <w:div w:id="1219517145">
      <w:bodyDiv w:val="1"/>
      <w:marLeft w:val="0"/>
      <w:marRight w:val="0"/>
      <w:marTop w:val="0"/>
      <w:marBottom w:val="0"/>
      <w:divBdr>
        <w:top w:val="none" w:sz="0" w:space="0" w:color="auto"/>
        <w:left w:val="none" w:sz="0" w:space="0" w:color="auto"/>
        <w:bottom w:val="none" w:sz="0" w:space="0" w:color="auto"/>
        <w:right w:val="none" w:sz="0" w:space="0" w:color="auto"/>
      </w:divBdr>
    </w:div>
    <w:div w:id="1503813146">
      <w:bodyDiv w:val="1"/>
      <w:marLeft w:val="0"/>
      <w:marRight w:val="0"/>
      <w:marTop w:val="0"/>
      <w:marBottom w:val="0"/>
      <w:divBdr>
        <w:top w:val="none" w:sz="0" w:space="0" w:color="auto"/>
        <w:left w:val="none" w:sz="0" w:space="0" w:color="auto"/>
        <w:bottom w:val="none" w:sz="0" w:space="0" w:color="auto"/>
        <w:right w:val="none" w:sz="0" w:space="0" w:color="auto"/>
      </w:divBdr>
    </w:div>
    <w:div w:id="1551264885">
      <w:bodyDiv w:val="1"/>
      <w:marLeft w:val="0"/>
      <w:marRight w:val="0"/>
      <w:marTop w:val="0"/>
      <w:marBottom w:val="0"/>
      <w:divBdr>
        <w:top w:val="none" w:sz="0" w:space="0" w:color="auto"/>
        <w:left w:val="none" w:sz="0" w:space="0" w:color="auto"/>
        <w:bottom w:val="none" w:sz="0" w:space="0" w:color="auto"/>
        <w:right w:val="none" w:sz="0" w:space="0" w:color="auto"/>
      </w:divBdr>
      <w:divsChild>
        <w:div w:id="1939216183">
          <w:marLeft w:val="0"/>
          <w:marRight w:val="0"/>
          <w:marTop w:val="0"/>
          <w:marBottom w:val="0"/>
          <w:divBdr>
            <w:top w:val="none" w:sz="0" w:space="0" w:color="auto"/>
            <w:left w:val="none" w:sz="0" w:space="0" w:color="auto"/>
            <w:bottom w:val="none" w:sz="0" w:space="0" w:color="auto"/>
            <w:right w:val="none" w:sz="0" w:space="0" w:color="auto"/>
          </w:divBdr>
          <w:divsChild>
            <w:div w:id="1881628551">
              <w:marLeft w:val="0"/>
              <w:marRight w:val="0"/>
              <w:marTop w:val="0"/>
              <w:marBottom w:val="0"/>
              <w:divBdr>
                <w:top w:val="none" w:sz="0" w:space="0" w:color="auto"/>
                <w:left w:val="none" w:sz="0" w:space="0" w:color="auto"/>
                <w:bottom w:val="none" w:sz="0" w:space="0" w:color="auto"/>
                <w:right w:val="none" w:sz="0" w:space="0" w:color="auto"/>
              </w:divBdr>
            </w:div>
          </w:divsChild>
        </w:div>
        <w:div w:id="1087842889">
          <w:marLeft w:val="0"/>
          <w:marRight w:val="0"/>
          <w:marTop w:val="0"/>
          <w:marBottom w:val="750"/>
          <w:divBdr>
            <w:top w:val="none" w:sz="0" w:space="0" w:color="auto"/>
            <w:left w:val="none" w:sz="0" w:space="0" w:color="auto"/>
            <w:bottom w:val="none" w:sz="0" w:space="0" w:color="auto"/>
            <w:right w:val="none" w:sz="0" w:space="0" w:color="auto"/>
          </w:divBdr>
          <w:divsChild>
            <w:div w:id="565919496">
              <w:marLeft w:val="0"/>
              <w:marRight w:val="0"/>
              <w:marTop w:val="0"/>
              <w:marBottom w:val="0"/>
              <w:divBdr>
                <w:top w:val="single" w:sz="6" w:space="8" w:color="B1B4B6"/>
                <w:left w:val="none" w:sz="0" w:space="0" w:color="auto"/>
                <w:bottom w:val="none" w:sz="0" w:space="0" w:color="auto"/>
                <w:right w:val="none" w:sz="0" w:space="0" w:color="auto"/>
              </w:divBdr>
            </w:div>
          </w:divsChild>
        </w:div>
      </w:divsChild>
    </w:div>
    <w:div w:id="1768841598">
      <w:bodyDiv w:val="1"/>
      <w:marLeft w:val="0"/>
      <w:marRight w:val="0"/>
      <w:marTop w:val="0"/>
      <w:marBottom w:val="0"/>
      <w:divBdr>
        <w:top w:val="none" w:sz="0" w:space="0" w:color="auto"/>
        <w:left w:val="none" w:sz="0" w:space="0" w:color="auto"/>
        <w:bottom w:val="none" w:sz="0" w:space="0" w:color="auto"/>
        <w:right w:val="none" w:sz="0" w:space="0" w:color="auto"/>
      </w:divBdr>
    </w:div>
    <w:div w:id="1790666635">
      <w:bodyDiv w:val="1"/>
      <w:marLeft w:val="0"/>
      <w:marRight w:val="0"/>
      <w:marTop w:val="0"/>
      <w:marBottom w:val="0"/>
      <w:divBdr>
        <w:top w:val="none" w:sz="0" w:space="0" w:color="auto"/>
        <w:left w:val="none" w:sz="0" w:space="0" w:color="auto"/>
        <w:bottom w:val="none" w:sz="0" w:space="0" w:color="auto"/>
        <w:right w:val="none" w:sz="0" w:space="0" w:color="auto"/>
      </w:divBdr>
    </w:div>
    <w:div w:id="1901281185">
      <w:bodyDiv w:val="1"/>
      <w:marLeft w:val="0"/>
      <w:marRight w:val="0"/>
      <w:marTop w:val="0"/>
      <w:marBottom w:val="0"/>
      <w:divBdr>
        <w:top w:val="none" w:sz="0" w:space="0" w:color="auto"/>
        <w:left w:val="none" w:sz="0" w:space="0" w:color="auto"/>
        <w:bottom w:val="none" w:sz="0" w:space="0" w:color="auto"/>
        <w:right w:val="none" w:sz="0" w:space="0" w:color="auto"/>
      </w:divBdr>
      <w:divsChild>
        <w:div w:id="1897814499">
          <w:marLeft w:val="0"/>
          <w:marRight w:val="0"/>
          <w:marTop w:val="480"/>
          <w:marBottom w:val="480"/>
          <w:divBdr>
            <w:top w:val="none" w:sz="0" w:space="0" w:color="auto"/>
            <w:left w:val="single" w:sz="48" w:space="12" w:color="B1B4B6"/>
            <w:bottom w:val="none" w:sz="0" w:space="0" w:color="auto"/>
            <w:right w:val="none" w:sz="0" w:space="0" w:color="auto"/>
          </w:divBdr>
        </w:div>
      </w:divsChild>
    </w:div>
    <w:div w:id="2065595733">
      <w:bodyDiv w:val="1"/>
      <w:marLeft w:val="0"/>
      <w:marRight w:val="0"/>
      <w:marTop w:val="0"/>
      <w:marBottom w:val="0"/>
      <w:divBdr>
        <w:top w:val="none" w:sz="0" w:space="0" w:color="auto"/>
        <w:left w:val="none" w:sz="0" w:space="0" w:color="auto"/>
        <w:bottom w:val="none" w:sz="0" w:space="0" w:color="auto"/>
        <w:right w:val="none" w:sz="0" w:space="0" w:color="auto"/>
      </w:divBdr>
    </w:div>
    <w:div w:id="2086414083">
      <w:bodyDiv w:val="1"/>
      <w:marLeft w:val="0"/>
      <w:marRight w:val="0"/>
      <w:marTop w:val="0"/>
      <w:marBottom w:val="0"/>
      <w:divBdr>
        <w:top w:val="none" w:sz="0" w:space="0" w:color="auto"/>
        <w:left w:val="none" w:sz="0" w:space="0" w:color="auto"/>
        <w:bottom w:val="none" w:sz="0" w:space="0" w:color="auto"/>
        <w:right w:val="none" w:sz="0" w:space="0" w:color="auto"/>
      </w:divBdr>
    </w:div>
    <w:div w:id="2115317660">
      <w:bodyDiv w:val="1"/>
      <w:marLeft w:val="0"/>
      <w:marRight w:val="0"/>
      <w:marTop w:val="0"/>
      <w:marBottom w:val="0"/>
      <w:divBdr>
        <w:top w:val="none" w:sz="0" w:space="0" w:color="auto"/>
        <w:left w:val="none" w:sz="0" w:space="0" w:color="auto"/>
        <w:bottom w:val="none" w:sz="0" w:space="0" w:color="auto"/>
        <w:right w:val="none" w:sz="0" w:space="0" w:color="auto"/>
      </w:divBdr>
    </w:div>
    <w:div w:id="21473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Leonard (Cavanaghkelly)</dc:creator>
  <cp:keywords/>
  <dc:description/>
  <cp:lastModifiedBy>Michael Drumm (Cavanagh Kelly)</cp:lastModifiedBy>
  <cp:revision>3</cp:revision>
  <dcterms:created xsi:type="dcterms:W3CDTF">2020-05-01T09:56:00Z</dcterms:created>
  <dcterms:modified xsi:type="dcterms:W3CDTF">2020-05-05T08:52:00Z</dcterms:modified>
</cp:coreProperties>
</file>